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Hudson Riehle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100.9,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0.1%.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dampened.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633,000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hefty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5.1%.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year-to-date.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year-to-date.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year-to-date,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1981.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100.9,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0.1%.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year-to-date,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7.2%.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Restaurant Industry Update August 2022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c-editor/Edit?token=hp1rtXBZXmU5uQ_3v-I6-gZrLVTGwo7hgD_M5wLH6LeSvMPZtkkj1YCEwRxxA_FwPqECUIocS8P2KxaJgSEeC2cJ3j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